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7A" w:rsidRPr="008319F5" w:rsidRDefault="000D2269" w:rsidP="000D2269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XI. </w:t>
      </w:r>
      <w:r w:rsidR="004D5B7A"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Información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Autoridades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administrativas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jurisdiccionales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sindicatos</w:t>
      </w:r>
      <w:bookmarkStart w:id="0" w:name="_GoBack"/>
      <w:bookmarkEnd w:id="0"/>
    </w:p>
    <w:tbl>
      <w:tblPr>
        <w:tblW w:w="10701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3"/>
        <w:gridCol w:w="2188"/>
        <w:gridCol w:w="2426"/>
        <w:gridCol w:w="2126"/>
        <w:gridCol w:w="2268"/>
      </w:tblGrid>
      <w:tr w:rsidR="004D5B7A" w:rsidRPr="000D2269" w:rsidTr="000D2269">
        <w:trPr>
          <w:trHeight w:val="20"/>
          <w:tblHeader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0D2269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0D2269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0D2269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0D2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D2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0D2269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0D2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0D2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D2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0D2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0D2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0D2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0D2269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0D2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D2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0D2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D2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0D2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47D62" w:rsidRPr="000D2269" w:rsidTr="000D2269">
        <w:trPr>
          <w:trHeight w:val="20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78. </w:t>
            </w:r>
            <w:r w:rsidR="00F17C67" w:rsidRPr="000D226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D2269">
              <w:rPr>
                <w:rFonts w:ascii="Arial" w:hAnsi="Arial" w:cs="Arial"/>
                <w:i/>
                <w:sz w:val="16"/>
                <w:szCs w:val="18"/>
              </w:rPr>
              <w:t>Las autoridades administrativas y jurisdiccionales en materia laboral deberán poner a disposición del público y mantener actualizada y accesible, la siguiente información de los sindicatos: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i/>
                <w:sz w:val="16"/>
                <w:szCs w:val="18"/>
              </w:rPr>
              <w:t>Fracción I.</w:t>
            </w:r>
            <w:r w:rsidRPr="000D2269">
              <w:rPr>
                <w:rFonts w:ascii="Arial" w:hAnsi="Arial" w:cs="Arial"/>
                <w:i/>
                <w:sz w:val="16"/>
                <w:szCs w:val="18"/>
              </w:rPr>
              <w:t xml:space="preserve"> Los documentos del registro de los sindicatos, que deberán contener, entre otros:</w:t>
            </w:r>
          </w:p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i/>
                <w:sz w:val="16"/>
                <w:szCs w:val="18"/>
              </w:rPr>
              <w:t>a) El domicilio;</w:t>
            </w:r>
          </w:p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i/>
                <w:sz w:val="16"/>
                <w:szCs w:val="18"/>
              </w:rPr>
              <w:t>b) Número de registro;</w:t>
            </w:r>
          </w:p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i/>
                <w:sz w:val="16"/>
                <w:szCs w:val="18"/>
              </w:rPr>
              <w:t>c) Nombre del sindicato;</w:t>
            </w:r>
          </w:p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i/>
                <w:sz w:val="16"/>
                <w:szCs w:val="18"/>
              </w:rPr>
              <w:t>d) Nombre de los integrantes del comité ejecutivo y comisiones que ejerzan funciones de vigilancia;</w:t>
            </w:r>
          </w:p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i/>
                <w:sz w:val="16"/>
                <w:szCs w:val="18"/>
              </w:rPr>
              <w:t>e) Fecha de vigencia del comité ejecutivo;</w:t>
            </w:r>
          </w:p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i/>
                <w:sz w:val="16"/>
                <w:szCs w:val="18"/>
              </w:rPr>
              <w:t>f) Número de socios;</w:t>
            </w:r>
          </w:p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i/>
                <w:sz w:val="16"/>
                <w:szCs w:val="18"/>
              </w:rPr>
              <w:t>g) Centro de trabajo al que pertenezcan, y</w:t>
            </w:r>
          </w:p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i/>
                <w:sz w:val="16"/>
                <w:szCs w:val="18"/>
              </w:rPr>
              <w:t>h) Central a la que pertenezcan, en su caso;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 xml:space="preserve">Trimestral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Información vigente y la correspondiente al menos a seis años anteriores</w:t>
            </w:r>
          </w:p>
        </w:tc>
      </w:tr>
      <w:tr w:rsidR="00447D62" w:rsidRPr="000D2269" w:rsidTr="000D2269"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i/>
                <w:sz w:val="16"/>
                <w:szCs w:val="18"/>
              </w:rPr>
              <w:t>Fracción II.</w:t>
            </w:r>
            <w:r w:rsidRPr="000D2269">
              <w:rPr>
                <w:rFonts w:ascii="Arial" w:hAnsi="Arial" w:cs="Arial"/>
                <w:i/>
                <w:sz w:val="16"/>
                <w:szCs w:val="18"/>
              </w:rPr>
              <w:t xml:space="preserve"> Las tomas de nota;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Información vigente y la correspondiente al menos a seis años anteriores</w:t>
            </w:r>
          </w:p>
        </w:tc>
      </w:tr>
      <w:tr w:rsidR="00447D62" w:rsidRPr="000D2269" w:rsidTr="000D2269"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i/>
                <w:sz w:val="16"/>
                <w:szCs w:val="18"/>
              </w:rPr>
              <w:t>Fracción III. El estatuto;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Trimestral y cuando se decrete, reforme, adicione, derogue o abrogue cualquier documento aplicable, la información deberá publicarse y/o actualizarse en un plazo no mayor a 10 días hábiles a partir de la toma de nota.</w:t>
            </w:r>
          </w:p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Cuando se decrete, reforme, adicione, derogue o abrogue cualquier documento aplicable, la información deberá publicarse y/o actualizarse en un plazo no mayor a 10 días hábiles a partir de la toma de nota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Información vigente y la correspondiente al menos a seis años anteriores</w:t>
            </w:r>
          </w:p>
        </w:tc>
      </w:tr>
      <w:tr w:rsidR="00447D62" w:rsidRPr="000D2269" w:rsidTr="000D2269"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i/>
                <w:sz w:val="16"/>
                <w:szCs w:val="18"/>
              </w:rPr>
              <w:t>Fracción IV. El padrón de socios;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Información vigente y la de un año previo</w:t>
            </w:r>
          </w:p>
        </w:tc>
      </w:tr>
      <w:tr w:rsidR="00447D62" w:rsidRPr="000D2269" w:rsidTr="000D2269"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i/>
                <w:sz w:val="16"/>
                <w:szCs w:val="18"/>
              </w:rPr>
              <w:t>Fracción V. Las actas de asamblea;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Trimestral y cuando se expida el correspondiente oficio de toma de nota deberá publicarse y/o actualizarse en un plazo no mayor a 3 días hábiles.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Información vigente y la correspondiente al menos a seis años anteriores</w:t>
            </w:r>
          </w:p>
        </w:tc>
      </w:tr>
      <w:tr w:rsidR="00447D62" w:rsidRPr="000D2269" w:rsidTr="000D2269"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i/>
                <w:sz w:val="16"/>
                <w:szCs w:val="18"/>
              </w:rPr>
              <w:t>Fracción VI. Los reglamentos interiores de trabajo;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0D2269" w:rsidTr="000D2269"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i/>
                <w:sz w:val="16"/>
                <w:szCs w:val="18"/>
              </w:rPr>
              <w:t>Fracción VII. Los contratos colectivos, incluyendo el tabulador, convenios y las condiciones generales de trabajo, y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Trimestral y cuando se expida la resolución que tenga por depositado o modificado el instrumento que corresponda deberá publicarse y/o actualizarse en un plazo no mayor a 3 días hábiles.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Información vigente y la correspondiente al menos a tres años anteriores</w:t>
            </w:r>
          </w:p>
        </w:tc>
      </w:tr>
      <w:tr w:rsidR="00447D62" w:rsidRPr="000D2269" w:rsidTr="000D2269"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D2269">
              <w:rPr>
                <w:rFonts w:ascii="Arial" w:hAnsi="Arial" w:cs="Arial"/>
                <w:b/>
                <w:i/>
                <w:sz w:val="16"/>
                <w:szCs w:val="18"/>
              </w:rPr>
              <w:t>Fracción VIII. Todos los documentos contenidos en el Expediente de registro sindical y de contratos colectivos de trabajo.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0D2269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D2269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</w:tbl>
    <w:p w:rsidR="004D5B7A" w:rsidRPr="008319F5" w:rsidRDefault="004D5B7A" w:rsidP="004A7C4A">
      <w:pPr>
        <w:pStyle w:val="Prrafodelista"/>
        <w:spacing w:after="101" w:line="216" w:lineRule="exact"/>
        <w:ind w:right="899"/>
        <w:rPr>
          <w:rFonts w:ascii="Arial" w:hAnsi="Arial" w:cs="Arial"/>
          <w:sz w:val="18"/>
          <w:szCs w:val="18"/>
        </w:rPr>
      </w:pPr>
    </w:p>
    <w:sectPr w:rsidR="004D5B7A" w:rsidRPr="008319F5" w:rsidSect="000D2269">
      <w:headerReference w:type="even" r:id="rId7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A1" w:rsidRDefault="006C59A1">
      <w:r>
        <w:separator/>
      </w:r>
    </w:p>
  </w:endnote>
  <w:endnote w:type="continuationSeparator" w:id="0">
    <w:p w:rsidR="006C59A1" w:rsidRDefault="006C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A1" w:rsidRDefault="006C59A1">
      <w:r>
        <w:separator/>
      </w:r>
    </w:p>
  </w:footnote>
  <w:footnote w:type="continuationSeparator" w:id="0">
    <w:p w:rsidR="006C59A1" w:rsidRDefault="006C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F17C67" w:rsidRDefault="00F17C67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F17C67">
      <w:rPr>
        <w:rFonts w:cs="Times New Roman"/>
      </w:rPr>
      <w:t xml:space="preserve">     </w:t>
    </w:r>
    <w:r w:rsidR="003C74C8" w:rsidRPr="00F17C67">
      <w:rPr>
        <w:rFonts w:cs="Times New Roman"/>
      </w:rPr>
      <w:t>(Décima Sección)</w:t>
    </w:r>
    <w:r w:rsidR="00407080" w:rsidRPr="00F17C67">
      <w:rPr>
        <w:rFonts w:cs="Times New Roman"/>
      </w:rPr>
      <w:tab/>
      <w:t>DIARIO OFICIAL</w:t>
    </w:r>
    <w:r w:rsidR="00407080" w:rsidRPr="00F17C67">
      <w:rPr>
        <w:rFonts w:cs="Times New Roman"/>
      </w:rPr>
      <w:tab/>
      <w:t>Miércoles 4 de mayo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2930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D2269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6DFC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C59A1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43A75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66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1C7A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5FCF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06969-BD38-4786-A9F3-79C071C6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2739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http://www.inegi.org.mx/geo/contenidos/normastecnicas/doc/dof_ntdg.pdf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3</cp:revision>
  <cp:lastPrinted>2016-05-03T19:35:00Z</cp:lastPrinted>
  <dcterms:created xsi:type="dcterms:W3CDTF">2016-09-21T23:58:00Z</dcterms:created>
  <dcterms:modified xsi:type="dcterms:W3CDTF">2016-09-22T13:45:00Z</dcterms:modified>
</cp:coreProperties>
</file>